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319C" w14:textId="77777777" w:rsidR="003A0506" w:rsidRPr="005174EC" w:rsidRDefault="003A0506" w:rsidP="003A0506">
      <w:pPr>
        <w:pStyle w:val="3"/>
        <w:ind w:left="0"/>
        <w:jc w:val="center"/>
        <w:rPr>
          <w:b/>
          <w:sz w:val="22"/>
          <w:szCs w:val="22"/>
        </w:rPr>
      </w:pPr>
      <w:r w:rsidRPr="005174EC">
        <w:rPr>
          <w:b/>
          <w:caps/>
          <w:sz w:val="22"/>
          <w:szCs w:val="22"/>
        </w:rPr>
        <w:t>PROGRAMMING OF MICROCONTROLLER SYSTEMS</w:t>
      </w:r>
    </w:p>
    <w:p w14:paraId="71D42AF3" w14:textId="77777777" w:rsidR="003A0506" w:rsidRPr="005174EC" w:rsidRDefault="003A0506" w:rsidP="003A0506">
      <w:pPr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3A0506" w:rsidRPr="005174EC" w14:paraId="222BC904" w14:textId="77777777" w:rsidTr="00315AE1">
        <w:tc>
          <w:tcPr>
            <w:tcW w:w="5778" w:type="dxa"/>
          </w:tcPr>
          <w:p w14:paraId="7380A116" w14:textId="77777777" w:rsidR="003A0506" w:rsidRPr="005174EC" w:rsidRDefault="003A050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28B0D017" w14:textId="77777777" w:rsidR="003A0506" w:rsidRPr="005174EC" w:rsidRDefault="003A0506" w:rsidP="00315AE1">
            <w:pPr>
              <w:jc w:val="both"/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Elective</w:t>
            </w:r>
          </w:p>
        </w:tc>
      </w:tr>
      <w:tr w:rsidR="003A0506" w:rsidRPr="005174EC" w14:paraId="4DF564AB" w14:textId="77777777" w:rsidTr="00315AE1">
        <w:tc>
          <w:tcPr>
            <w:tcW w:w="5778" w:type="dxa"/>
          </w:tcPr>
          <w:p w14:paraId="04CB5CF2" w14:textId="77777777" w:rsidR="003A0506" w:rsidRPr="005174EC" w:rsidRDefault="003A050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08B97620" w14:textId="77777777" w:rsidR="003A0506" w:rsidRPr="005174EC" w:rsidRDefault="003A0506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First (Bachelor)</w:t>
            </w:r>
          </w:p>
        </w:tc>
      </w:tr>
      <w:tr w:rsidR="003A0506" w:rsidRPr="005174EC" w14:paraId="4E3E0196" w14:textId="77777777" w:rsidTr="00315AE1">
        <w:tc>
          <w:tcPr>
            <w:tcW w:w="5778" w:type="dxa"/>
          </w:tcPr>
          <w:p w14:paraId="5A23D30E" w14:textId="77777777" w:rsidR="003A0506" w:rsidRPr="005174EC" w:rsidRDefault="003A050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2B649F3F" w14:textId="77777777" w:rsidR="003A0506" w:rsidRPr="005174EC" w:rsidRDefault="003A0506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3A0506" w:rsidRPr="005174EC" w14:paraId="4A200F62" w14:textId="77777777" w:rsidTr="00315AE1">
        <w:tc>
          <w:tcPr>
            <w:tcW w:w="5778" w:type="dxa"/>
          </w:tcPr>
          <w:p w14:paraId="3BCFBF32" w14:textId="77777777" w:rsidR="003A0506" w:rsidRPr="005174EC" w:rsidRDefault="003A050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2BE6A3A1" w14:textId="77777777" w:rsidR="003A0506" w:rsidRPr="005174EC" w:rsidRDefault="003A0506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3A0506" w:rsidRPr="005174EC" w14:paraId="3189E664" w14:textId="77777777" w:rsidTr="00315AE1">
        <w:tc>
          <w:tcPr>
            <w:tcW w:w="5778" w:type="dxa"/>
          </w:tcPr>
          <w:p w14:paraId="4AFB0FC6" w14:textId="77777777" w:rsidR="003A0506" w:rsidRPr="005174EC" w:rsidRDefault="003A0506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1C98EB5C" w14:textId="77777777" w:rsidR="003A0506" w:rsidRPr="005174EC" w:rsidRDefault="003A0506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Full-time</w:t>
            </w:r>
          </w:p>
        </w:tc>
      </w:tr>
    </w:tbl>
    <w:p w14:paraId="12584620" w14:textId="77777777" w:rsidR="003A0506" w:rsidRPr="005174EC" w:rsidRDefault="003A0506" w:rsidP="003A0506">
      <w:pPr>
        <w:rPr>
          <w:sz w:val="22"/>
          <w:szCs w:val="22"/>
        </w:rPr>
      </w:pPr>
    </w:p>
    <w:p w14:paraId="5F86EB27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 xml:space="preserve">A </w:t>
      </w:r>
      <w:proofErr w:type="spellStart"/>
      <w:r w:rsidRPr="005174EC">
        <w:rPr>
          <w:sz w:val="22"/>
          <w:szCs w:val="22"/>
        </w:rPr>
        <w:t>student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who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successfully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must</w:t>
      </w:r>
      <w:proofErr w:type="spellEnd"/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skillfully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programming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architecture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different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types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purpose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analyze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electrical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circuits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electronic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devices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devices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compile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algorithms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diagnosing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microcontrollers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develop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hardware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data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exchange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between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microcontroller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external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devices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implement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knowledge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skills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acquired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during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study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program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programming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languages</w:t>
      </w:r>
      <w:proofErr w:type="spellEnd"/>
      <w:r w:rsidRPr="005174EC">
        <w:rPr>
          <w:sz w:val="22"/>
          <w:szCs w:val="22"/>
        </w:rPr>
        <w:t xml:space="preserve"> (VHDL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C).</w:t>
      </w:r>
    </w:p>
    <w:p w14:paraId="55F8137B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</w:p>
    <w:p w14:paraId="29102722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proofErr w:type="spellStart"/>
      <w:r w:rsidRPr="005174EC">
        <w:rPr>
          <w:sz w:val="22"/>
          <w:szCs w:val="22"/>
        </w:rPr>
        <w:t>Modern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directions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development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microprocessor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technology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General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information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about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Structure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operation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Comparison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RISK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r w:rsidRPr="005174EC">
        <w:rPr>
          <w:sz w:val="22"/>
          <w:szCs w:val="22"/>
        </w:rPr>
        <w:t xml:space="preserve">CISK </w:t>
      </w:r>
      <w:proofErr w:type="spellStart"/>
      <w:r w:rsidRPr="005174EC">
        <w:rPr>
          <w:sz w:val="22"/>
          <w:szCs w:val="22"/>
        </w:rPr>
        <w:t>technologies</w:t>
      </w:r>
      <w:proofErr w:type="spellEnd"/>
      <w:r w:rsidRPr="005174EC">
        <w:rPr>
          <w:sz w:val="22"/>
          <w:szCs w:val="22"/>
        </w:rPr>
        <w:t>. ST7</w:t>
      </w:r>
      <w:r w:rsidRPr="005174EC">
        <w:rPr>
          <w:sz w:val="22"/>
          <w:szCs w:val="22"/>
          <w:lang w:val="en-US"/>
        </w:rPr>
        <w:t xml:space="preserve"> m</w:t>
      </w:r>
      <w:proofErr w:type="spellStart"/>
      <w:r w:rsidRPr="005174EC">
        <w:rPr>
          <w:sz w:val="22"/>
          <w:szCs w:val="22"/>
        </w:rPr>
        <w:t>icroelectronics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family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ST7 </w:t>
      </w:r>
      <w:proofErr w:type="spellStart"/>
      <w:r w:rsidRPr="005174EC">
        <w:rPr>
          <w:sz w:val="22"/>
          <w:szCs w:val="22"/>
        </w:rPr>
        <w:t>microcontrollers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Familiarity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with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Arduino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Raspberry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Pi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platforms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Development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environment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programming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language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Arduino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Raspberry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Pi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microcontrollers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structure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program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Syntax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operators</w:t>
      </w:r>
      <w:proofErr w:type="spellEnd"/>
      <w:r w:rsidRPr="005174EC">
        <w:rPr>
          <w:sz w:val="22"/>
          <w:szCs w:val="22"/>
        </w:rPr>
        <w:t>.</w:t>
      </w:r>
    </w:p>
    <w:p w14:paraId="6BBA07D5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  <w:r w:rsidRPr="005174EC">
        <w:rPr>
          <w:sz w:val="22"/>
          <w:szCs w:val="22"/>
          <w:lang w:val="en-US"/>
        </w:rPr>
        <w:t xml:space="preserve"> </w:t>
      </w:r>
    </w:p>
    <w:p w14:paraId="5ACB7754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classroom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- </w:t>
      </w:r>
      <w:proofErr w:type="spellStart"/>
      <w:r w:rsidRPr="005174EC">
        <w:rPr>
          <w:sz w:val="22"/>
          <w:szCs w:val="22"/>
        </w:rPr>
        <w:t>not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than</w:t>
      </w:r>
      <w:proofErr w:type="spellEnd"/>
      <w:r w:rsidRPr="005174EC">
        <w:rPr>
          <w:sz w:val="22"/>
          <w:szCs w:val="22"/>
        </w:rPr>
        <w:t xml:space="preserve"> 1/3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planned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study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>.</w:t>
      </w:r>
    </w:p>
    <w:p w14:paraId="4AADC295" w14:textId="77777777" w:rsidR="003A0506" w:rsidRPr="005174EC" w:rsidRDefault="003A0506" w:rsidP="003A0506">
      <w:pPr>
        <w:spacing w:line="228" w:lineRule="auto"/>
        <w:jc w:val="both"/>
        <w:rPr>
          <w:b/>
          <w:sz w:val="22"/>
          <w:szCs w:val="22"/>
        </w:rPr>
      </w:pPr>
    </w:p>
    <w:p w14:paraId="070EABA5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proofErr w:type="spellStart"/>
      <w:r w:rsidRPr="005174EC">
        <w:rPr>
          <w:sz w:val="22"/>
          <w:szCs w:val="22"/>
        </w:rPr>
        <w:t>lectures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learning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visualization</w:t>
      </w:r>
      <w:proofErr w:type="spellEnd"/>
      <w:r w:rsidRPr="005174EC">
        <w:rPr>
          <w:sz w:val="22"/>
          <w:szCs w:val="22"/>
        </w:rPr>
        <w:t xml:space="preserve">);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trainings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master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workshops</w:t>
      </w:r>
      <w:proofErr w:type="spellEnd"/>
      <w:r w:rsidRPr="005174EC">
        <w:rPr>
          <w:sz w:val="22"/>
          <w:szCs w:val="22"/>
        </w:rPr>
        <w:t xml:space="preserve">), </w:t>
      </w:r>
      <w:proofErr w:type="spellStart"/>
      <w:r w:rsidRPr="005174EC">
        <w:rPr>
          <w:sz w:val="22"/>
          <w:szCs w:val="22"/>
        </w:rPr>
        <w:t>independent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individual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tasks</w:t>
      </w:r>
      <w:proofErr w:type="spellEnd"/>
      <w:r w:rsidRPr="005174EC">
        <w:rPr>
          <w:sz w:val="22"/>
          <w:szCs w:val="22"/>
        </w:rPr>
        <w:t>).</w:t>
      </w:r>
    </w:p>
    <w:p w14:paraId="58DB806D" w14:textId="77777777" w:rsidR="003A0506" w:rsidRPr="005174EC" w:rsidRDefault="003A0506" w:rsidP="003A0506">
      <w:pPr>
        <w:spacing w:line="228" w:lineRule="auto"/>
        <w:jc w:val="both"/>
        <w:rPr>
          <w:b/>
          <w:sz w:val="22"/>
          <w:szCs w:val="22"/>
        </w:rPr>
      </w:pPr>
    </w:p>
    <w:p w14:paraId="77DACB3B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oral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examination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defense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test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control</w:t>
      </w:r>
      <w:proofErr w:type="spellEnd"/>
      <w:r w:rsidRPr="005174EC">
        <w:rPr>
          <w:sz w:val="22"/>
          <w:szCs w:val="22"/>
        </w:rPr>
        <w:t>.</w:t>
      </w:r>
    </w:p>
    <w:p w14:paraId="1FB39D62" w14:textId="77777777" w:rsidR="003A0506" w:rsidRPr="005174EC" w:rsidRDefault="003A0506" w:rsidP="003A0506">
      <w:pPr>
        <w:spacing w:line="228" w:lineRule="auto"/>
        <w:jc w:val="both"/>
        <w:rPr>
          <w:b/>
          <w:sz w:val="22"/>
          <w:szCs w:val="22"/>
        </w:rPr>
      </w:pPr>
    </w:p>
    <w:p w14:paraId="48A97152" w14:textId="77777777" w:rsidR="003A0506" w:rsidRPr="005174EC" w:rsidRDefault="003A0506" w:rsidP="003A0506">
      <w:pPr>
        <w:spacing w:line="228" w:lineRule="auto"/>
        <w:jc w:val="both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  <w:lang w:val="en-US"/>
        </w:rPr>
        <w:t>credit</w:t>
      </w:r>
      <w:r w:rsidRPr="005174EC">
        <w:rPr>
          <w:sz w:val="22"/>
          <w:szCs w:val="22"/>
        </w:rPr>
        <w:t>.</w:t>
      </w:r>
    </w:p>
    <w:p w14:paraId="276D43E3" w14:textId="77777777" w:rsidR="003A0506" w:rsidRPr="005174EC" w:rsidRDefault="003A0506" w:rsidP="003A0506">
      <w:pPr>
        <w:spacing w:line="228" w:lineRule="auto"/>
        <w:jc w:val="both"/>
        <w:rPr>
          <w:b/>
          <w:sz w:val="22"/>
          <w:szCs w:val="22"/>
        </w:rPr>
      </w:pPr>
    </w:p>
    <w:p w14:paraId="25D220ED" w14:textId="77777777" w:rsidR="003A0506" w:rsidRPr="005174EC" w:rsidRDefault="003A0506" w:rsidP="003A0506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0945E630" w14:textId="77777777" w:rsidR="003A0506" w:rsidRPr="005174EC" w:rsidRDefault="003A0506" w:rsidP="003A0506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Modular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learning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environment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MOODLE. Access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to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the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resource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>:</w:t>
      </w:r>
      <w:r w:rsidRPr="005174EC">
        <w:rPr>
          <w:spacing w:val="-4"/>
          <w:sz w:val="22"/>
          <w:szCs w:val="22"/>
        </w:rPr>
        <w:t xml:space="preserve">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en-US"/>
        </w:rPr>
        <w:t xml:space="preserve"> </w:t>
      </w:r>
    </w:p>
    <w:p w14:paraId="599C7ADB" w14:textId="77777777" w:rsidR="003A0506" w:rsidRPr="005174EC" w:rsidRDefault="003A0506" w:rsidP="003A0506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spacing w:val="-6"/>
          <w:sz w:val="22"/>
          <w:szCs w:val="22"/>
        </w:rPr>
        <w:t>Electronic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library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of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university</w:t>
      </w:r>
      <w:proofErr w:type="spellEnd"/>
      <w:r w:rsidRPr="005174EC">
        <w:rPr>
          <w:spacing w:val="-6"/>
          <w:sz w:val="22"/>
          <w:szCs w:val="22"/>
        </w:rPr>
        <w:t xml:space="preserve">. Access </w:t>
      </w:r>
      <w:proofErr w:type="spellStart"/>
      <w:r w:rsidRPr="005174EC">
        <w:rPr>
          <w:spacing w:val="-6"/>
          <w:sz w:val="22"/>
          <w:szCs w:val="22"/>
        </w:rPr>
        <w:t>to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resource</w:t>
      </w:r>
      <w:proofErr w:type="spellEnd"/>
      <w:r w:rsidRPr="005174EC">
        <w:rPr>
          <w:spacing w:val="-6"/>
          <w:sz w:val="22"/>
          <w:szCs w:val="22"/>
        </w:rPr>
        <w:t xml:space="preserve">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en-US"/>
        </w:rPr>
        <w:t xml:space="preserve"> </w:t>
      </w:r>
    </w:p>
    <w:p w14:paraId="6321FEF8" w14:textId="77777777" w:rsidR="003A0506" w:rsidRPr="005174EC" w:rsidRDefault="003A0506" w:rsidP="003A0506">
      <w:pPr>
        <w:tabs>
          <w:tab w:val="left" w:pos="284"/>
        </w:tabs>
        <w:spacing w:line="228" w:lineRule="auto"/>
        <w:jc w:val="both"/>
        <w:rPr>
          <w:b/>
          <w:sz w:val="22"/>
          <w:szCs w:val="22"/>
        </w:rPr>
      </w:pPr>
    </w:p>
    <w:p w14:paraId="2A3F6103" w14:textId="77777777" w:rsidR="003A0506" w:rsidRPr="005174EC" w:rsidRDefault="003A0506" w:rsidP="003A0506">
      <w:pPr>
        <w:tabs>
          <w:tab w:val="left" w:pos="284"/>
        </w:tabs>
        <w:spacing w:line="228" w:lineRule="auto"/>
        <w:jc w:val="both"/>
        <w:rPr>
          <w:sz w:val="22"/>
          <w:szCs w:val="22"/>
          <w:lang w:val="en-US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</w:t>
      </w:r>
      <w:r w:rsidRPr="005174EC">
        <w:rPr>
          <w:sz w:val="22"/>
          <w:szCs w:val="22"/>
          <w:lang w:val="en-US"/>
        </w:rPr>
        <w:t xml:space="preserve">PhD A. </w:t>
      </w:r>
      <w:proofErr w:type="spellStart"/>
      <w:r w:rsidRPr="005174EC">
        <w:rPr>
          <w:sz w:val="22"/>
          <w:szCs w:val="22"/>
          <w:lang w:val="en-US"/>
        </w:rPr>
        <w:t>Nicheporuk</w:t>
      </w:r>
      <w:proofErr w:type="spellEnd"/>
    </w:p>
    <w:p w14:paraId="5C797FAA" w14:textId="77777777" w:rsidR="003A0506" w:rsidRPr="005174EC" w:rsidRDefault="003A0506" w:rsidP="003A0506">
      <w:pPr>
        <w:tabs>
          <w:tab w:val="left" w:pos="0"/>
        </w:tabs>
        <w:spacing w:line="228" w:lineRule="auto"/>
        <w:jc w:val="both"/>
        <w:rPr>
          <w:sz w:val="22"/>
          <w:szCs w:val="22"/>
        </w:rPr>
      </w:pPr>
    </w:p>
    <w:p w14:paraId="1BCF50B1" w14:textId="4E0A0CAC" w:rsidR="00E5653F" w:rsidRPr="003A0506" w:rsidRDefault="00E5653F" w:rsidP="003A0506">
      <w:pPr>
        <w:spacing w:after="200" w:line="276" w:lineRule="auto"/>
        <w:rPr>
          <w:sz w:val="22"/>
          <w:szCs w:val="22"/>
        </w:rPr>
      </w:pPr>
    </w:p>
    <w:sectPr w:rsidR="00E5653F" w:rsidRPr="003A05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25823"/>
    <w:multiLevelType w:val="hybridMultilevel"/>
    <w:tmpl w:val="F3D28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1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6"/>
    <w:rsid w:val="00161AD2"/>
    <w:rsid w:val="003A0506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6AF1"/>
  <w15:chartTrackingRefBased/>
  <w15:docId w15:val="{78B74617-EDAD-4174-A7DD-522A5D7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50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3A0506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3A05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A0506"/>
    <w:pPr>
      <w:ind w:left="720"/>
      <w:contextualSpacing/>
    </w:pPr>
  </w:style>
  <w:style w:type="character" w:styleId="a4">
    <w:name w:val="Hyperlink"/>
    <w:uiPriority w:val="99"/>
    <w:unhideWhenUsed/>
    <w:qFormat/>
    <w:rsid w:val="003A0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1911</Characters>
  <Application>Microsoft Office Word</Application>
  <DocSecurity>0</DocSecurity>
  <Lines>127</Lines>
  <Paragraphs>36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2024-11-27T15:08:00Z</dcterms:created>
  <dcterms:modified xsi:type="dcterms:W3CDTF">2024-11-27T15:08:00Z</dcterms:modified>
</cp:coreProperties>
</file>