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3821" w14:textId="77777777" w:rsidR="00475C3C" w:rsidRPr="00591A65" w:rsidRDefault="00475C3C" w:rsidP="00475C3C">
      <w:pPr>
        <w:pStyle w:val="3"/>
        <w:jc w:val="center"/>
        <w:rPr>
          <w:b/>
          <w:sz w:val="22"/>
          <w:szCs w:val="22"/>
        </w:rPr>
      </w:pPr>
      <w:r w:rsidRPr="00591A65">
        <w:rPr>
          <w:b/>
          <w:sz w:val="22"/>
          <w:szCs w:val="22"/>
        </w:rPr>
        <w:t>ВІДМОВОСТІЙКІ ВБУДОВАНІ СИСТЕМИ НА ПРОГРАМОВАНІЙ ЛОГІЦІ</w:t>
      </w:r>
    </w:p>
    <w:p w14:paraId="5CA42F11" w14:textId="77777777" w:rsidR="00475C3C" w:rsidRPr="00591A65" w:rsidRDefault="00475C3C" w:rsidP="00475C3C">
      <w:pPr>
        <w:rPr>
          <w:sz w:val="22"/>
          <w:szCs w:val="22"/>
          <w:lang w:eastAsia="ru-RU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637"/>
        <w:gridCol w:w="3667"/>
      </w:tblGrid>
      <w:tr w:rsidR="00475C3C" w:rsidRPr="00591A65" w14:paraId="3618F70C" w14:textId="77777777" w:rsidTr="005D4CEE">
        <w:trPr>
          <w:trHeight w:val="243"/>
        </w:trPr>
        <w:tc>
          <w:tcPr>
            <w:tcW w:w="5637" w:type="dxa"/>
          </w:tcPr>
          <w:p w14:paraId="21AE7A5E" w14:textId="77777777" w:rsidR="00475C3C" w:rsidRPr="00591A65" w:rsidRDefault="00475C3C" w:rsidP="005D4CEE">
            <w:pPr>
              <w:rPr>
                <w:b/>
                <w:sz w:val="22"/>
                <w:szCs w:val="22"/>
              </w:rPr>
            </w:pPr>
            <w:r w:rsidRPr="00591A65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3667" w:type="dxa"/>
          </w:tcPr>
          <w:p w14:paraId="3D991DCC" w14:textId="77777777" w:rsidR="00475C3C" w:rsidRPr="00591A65" w:rsidRDefault="00475C3C" w:rsidP="005D4CEE">
            <w:pPr>
              <w:rPr>
                <w:sz w:val="22"/>
                <w:szCs w:val="22"/>
              </w:rPr>
            </w:pPr>
            <w:r w:rsidRPr="00591A65">
              <w:rPr>
                <w:sz w:val="22"/>
                <w:szCs w:val="22"/>
              </w:rPr>
              <w:t>Вибіркова</w:t>
            </w:r>
          </w:p>
        </w:tc>
      </w:tr>
      <w:tr w:rsidR="00475C3C" w:rsidRPr="00591A65" w14:paraId="08A9A21A" w14:textId="77777777" w:rsidTr="005D4CEE">
        <w:trPr>
          <w:trHeight w:val="237"/>
        </w:trPr>
        <w:tc>
          <w:tcPr>
            <w:tcW w:w="5637" w:type="dxa"/>
          </w:tcPr>
          <w:p w14:paraId="76CA5C53" w14:textId="77777777" w:rsidR="00475C3C" w:rsidRPr="00591A65" w:rsidRDefault="00475C3C" w:rsidP="005D4CEE">
            <w:pPr>
              <w:rPr>
                <w:b/>
                <w:sz w:val="22"/>
                <w:szCs w:val="22"/>
              </w:rPr>
            </w:pPr>
            <w:r w:rsidRPr="00591A65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3667" w:type="dxa"/>
          </w:tcPr>
          <w:p w14:paraId="4C44DB9B" w14:textId="77777777" w:rsidR="00475C3C" w:rsidRPr="00591A65" w:rsidRDefault="00475C3C" w:rsidP="005D4CEE">
            <w:pPr>
              <w:rPr>
                <w:sz w:val="22"/>
                <w:szCs w:val="22"/>
              </w:rPr>
            </w:pPr>
            <w:r w:rsidRPr="00591A65">
              <w:rPr>
                <w:sz w:val="22"/>
                <w:szCs w:val="22"/>
              </w:rPr>
              <w:t>Третій (доктор філософії)</w:t>
            </w:r>
          </w:p>
        </w:tc>
      </w:tr>
      <w:tr w:rsidR="00475C3C" w:rsidRPr="00591A65" w14:paraId="1B18B895" w14:textId="77777777" w:rsidTr="005D4CEE">
        <w:trPr>
          <w:trHeight w:val="243"/>
        </w:trPr>
        <w:tc>
          <w:tcPr>
            <w:tcW w:w="5637" w:type="dxa"/>
          </w:tcPr>
          <w:p w14:paraId="6EBC7C49" w14:textId="77777777" w:rsidR="00475C3C" w:rsidRPr="00591A65" w:rsidRDefault="00475C3C" w:rsidP="005D4CEE">
            <w:pPr>
              <w:rPr>
                <w:b/>
                <w:sz w:val="22"/>
                <w:szCs w:val="22"/>
              </w:rPr>
            </w:pPr>
            <w:r w:rsidRPr="00591A65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3667" w:type="dxa"/>
          </w:tcPr>
          <w:p w14:paraId="4FF8E93D" w14:textId="77777777" w:rsidR="00475C3C" w:rsidRPr="00591A65" w:rsidRDefault="00475C3C" w:rsidP="005D4CEE">
            <w:pPr>
              <w:rPr>
                <w:sz w:val="22"/>
                <w:szCs w:val="22"/>
              </w:rPr>
            </w:pPr>
            <w:r w:rsidRPr="00591A65">
              <w:rPr>
                <w:sz w:val="22"/>
                <w:szCs w:val="22"/>
              </w:rPr>
              <w:t>Українська</w:t>
            </w:r>
          </w:p>
        </w:tc>
      </w:tr>
      <w:tr w:rsidR="00475C3C" w:rsidRPr="00591A65" w14:paraId="2BDAA500" w14:textId="77777777" w:rsidTr="005D4CEE">
        <w:trPr>
          <w:trHeight w:val="243"/>
        </w:trPr>
        <w:tc>
          <w:tcPr>
            <w:tcW w:w="5637" w:type="dxa"/>
          </w:tcPr>
          <w:p w14:paraId="1E6DE36E" w14:textId="77777777" w:rsidR="00475C3C" w:rsidRPr="00591A65" w:rsidRDefault="00475C3C" w:rsidP="005D4CEE">
            <w:pPr>
              <w:rPr>
                <w:b/>
                <w:sz w:val="22"/>
                <w:szCs w:val="22"/>
              </w:rPr>
            </w:pPr>
            <w:r w:rsidRPr="00591A65">
              <w:rPr>
                <w:b/>
                <w:sz w:val="22"/>
                <w:szCs w:val="22"/>
              </w:rPr>
              <w:t>Кількість встановлених кредитів ЄКТС</w:t>
            </w:r>
          </w:p>
        </w:tc>
        <w:tc>
          <w:tcPr>
            <w:tcW w:w="3667" w:type="dxa"/>
          </w:tcPr>
          <w:p w14:paraId="78BAA862" w14:textId="77777777" w:rsidR="00475C3C" w:rsidRPr="00591A65" w:rsidRDefault="00475C3C" w:rsidP="005D4CEE">
            <w:pPr>
              <w:rPr>
                <w:sz w:val="22"/>
                <w:szCs w:val="22"/>
              </w:rPr>
            </w:pPr>
            <w:r w:rsidRPr="00591A65">
              <w:rPr>
                <w:sz w:val="22"/>
                <w:szCs w:val="22"/>
              </w:rPr>
              <w:t>8,0</w:t>
            </w:r>
          </w:p>
        </w:tc>
      </w:tr>
      <w:tr w:rsidR="00475C3C" w:rsidRPr="00591A65" w14:paraId="7C031FE0" w14:textId="77777777" w:rsidTr="005D4CEE">
        <w:trPr>
          <w:trHeight w:val="254"/>
        </w:trPr>
        <w:tc>
          <w:tcPr>
            <w:tcW w:w="5637" w:type="dxa"/>
          </w:tcPr>
          <w:p w14:paraId="7DF8ABF7" w14:textId="77777777" w:rsidR="00475C3C" w:rsidRPr="00CE055C" w:rsidRDefault="00475C3C" w:rsidP="005D4CEE">
            <w:pPr>
              <w:rPr>
                <w:b/>
                <w:sz w:val="22"/>
                <w:szCs w:val="22"/>
              </w:rPr>
            </w:pPr>
            <w:r w:rsidRPr="00CE055C">
              <w:rPr>
                <w:b/>
                <w:sz w:val="22"/>
                <w:szCs w:val="22"/>
              </w:rPr>
              <w:t xml:space="preserve">Форми </w:t>
            </w:r>
            <w:r>
              <w:rPr>
                <w:b/>
                <w:sz w:val="22"/>
                <w:szCs w:val="22"/>
              </w:rPr>
              <w:t>здобуття освіти</w:t>
            </w:r>
          </w:p>
        </w:tc>
        <w:tc>
          <w:tcPr>
            <w:tcW w:w="3667" w:type="dxa"/>
          </w:tcPr>
          <w:p w14:paraId="47EA210F" w14:textId="77777777" w:rsidR="00475C3C" w:rsidRPr="00CE055C" w:rsidRDefault="00475C3C" w:rsidP="005D4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 д</w:t>
            </w:r>
            <w:r w:rsidRPr="00CE055C">
              <w:rPr>
                <w:sz w:val="22"/>
                <w:szCs w:val="22"/>
              </w:rPr>
              <w:t>енна</w:t>
            </w:r>
          </w:p>
        </w:tc>
      </w:tr>
    </w:tbl>
    <w:p w14:paraId="1EEAD601" w14:textId="77777777" w:rsidR="00475C3C" w:rsidRPr="00591A65" w:rsidRDefault="00475C3C" w:rsidP="00475C3C">
      <w:pPr>
        <w:rPr>
          <w:b/>
          <w:sz w:val="22"/>
          <w:szCs w:val="22"/>
        </w:rPr>
      </w:pPr>
    </w:p>
    <w:p w14:paraId="6137CD88" w14:textId="2E4FC3F5" w:rsidR="00475C3C" w:rsidRDefault="00475C3C" w:rsidP="00475C3C">
      <w:pPr>
        <w:jc w:val="both"/>
        <w:rPr>
          <w:sz w:val="22"/>
          <w:szCs w:val="22"/>
        </w:rPr>
      </w:pPr>
      <w:r w:rsidRPr="00591A65">
        <w:rPr>
          <w:b/>
          <w:sz w:val="22"/>
          <w:szCs w:val="22"/>
        </w:rPr>
        <w:t xml:space="preserve">Результати навчання. </w:t>
      </w:r>
      <w:r w:rsidRPr="00591A65">
        <w:rPr>
          <w:sz w:val="22"/>
          <w:szCs w:val="22"/>
        </w:rPr>
        <w:t xml:space="preserve">Студент, який успішно завершив вивчення дисципліни, повинен: </w:t>
      </w:r>
      <w:r w:rsidR="00DA2651">
        <w:rPr>
          <w:sz w:val="22"/>
          <w:szCs w:val="22"/>
        </w:rPr>
        <w:t>мати з</w:t>
      </w:r>
      <w:r w:rsidRPr="00475C3C">
        <w:rPr>
          <w:sz w:val="22"/>
          <w:szCs w:val="22"/>
        </w:rPr>
        <w:t>датність розв’язувати комплексні проблеми у сфері</w:t>
      </w:r>
      <w:r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>комп’ютерної інженерії на основі системного наукового</w:t>
      </w:r>
      <w:r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>світогляду</w:t>
      </w:r>
      <w:r w:rsidR="00DA2651">
        <w:rPr>
          <w:sz w:val="22"/>
          <w:szCs w:val="22"/>
        </w:rPr>
        <w:t xml:space="preserve"> із </w:t>
      </w:r>
      <w:r w:rsidR="00DA2651" w:rsidRPr="00DA2651">
        <w:rPr>
          <w:sz w:val="22"/>
          <w:szCs w:val="22"/>
        </w:rPr>
        <w:t xml:space="preserve">застосуванням </w:t>
      </w:r>
      <w:r w:rsidR="00DA2651" w:rsidRPr="00DA2651">
        <w:rPr>
          <w:sz w:val="22"/>
          <w:szCs w:val="22"/>
        </w:rPr>
        <w:t>вбудованих систем на програмованій</w:t>
      </w:r>
      <w:r w:rsidR="00DA2651" w:rsidRPr="00DA2651">
        <w:rPr>
          <w:sz w:val="22"/>
          <w:szCs w:val="22"/>
        </w:rPr>
        <w:t>;</w:t>
      </w:r>
      <w:r w:rsidR="00DA2651">
        <w:rPr>
          <w:sz w:val="22"/>
          <w:szCs w:val="22"/>
        </w:rPr>
        <w:t xml:space="preserve"> мати з</w:t>
      </w:r>
      <w:r w:rsidRPr="00475C3C">
        <w:rPr>
          <w:sz w:val="22"/>
          <w:szCs w:val="22"/>
        </w:rPr>
        <w:t>датність ініціювати, розробляти і реалізовувати</w:t>
      </w:r>
      <w:r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 xml:space="preserve">комплексні інноваційні </w:t>
      </w:r>
      <w:proofErr w:type="spellStart"/>
      <w:r w:rsidRPr="00475C3C">
        <w:rPr>
          <w:sz w:val="22"/>
          <w:szCs w:val="22"/>
        </w:rPr>
        <w:t>проєкти</w:t>
      </w:r>
      <w:proofErr w:type="spellEnd"/>
      <w:r w:rsidRPr="00475C3C">
        <w:rPr>
          <w:sz w:val="22"/>
          <w:szCs w:val="22"/>
        </w:rPr>
        <w:t xml:space="preserve"> в комп’ютерній інженерії</w:t>
      </w:r>
      <w:r w:rsidR="00DA2651"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>та дотичні до неї міждисциплінарні проекти</w:t>
      </w:r>
      <w:r w:rsidR="00DA2651">
        <w:rPr>
          <w:sz w:val="22"/>
          <w:szCs w:val="22"/>
        </w:rPr>
        <w:t xml:space="preserve"> </w:t>
      </w:r>
      <w:r w:rsidR="00DA2651">
        <w:rPr>
          <w:sz w:val="22"/>
          <w:szCs w:val="22"/>
        </w:rPr>
        <w:t xml:space="preserve">із </w:t>
      </w:r>
      <w:r w:rsidR="00DA2651" w:rsidRPr="00DA2651">
        <w:rPr>
          <w:sz w:val="22"/>
          <w:szCs w:val="22"/>
        </w:rPr>
        <w:t xml:space="preserve">застосуванням вбудованих систем на програмованій </w:t>
      </w:r>
      <w:proofErr w:type="spellStart"/>
      <w:r w:rsidR="00DA2651" w:rsidRPr="00DA2651">
        <w:rPr>
          <w:sz w:val="22"/>
          <w:szCs w:val="22"/>
        </w:rPr>
        <w:t>логіці</w:t>
      </w:r>
      <w:proofErr w:type="spellEnd"/>
      <w:r w:rsidR="00DA2651" w:rsidRPr="00DA2651">
        <w:rPr>
          <w:sz w:val="22"/>
          <w:szCs w:val="22"/>
        </w:rPr>
        <w:t>;</w:t>
      </w:r>
      <w:r w:rsidR="00DA2651">
        <w:rPr>
          <w:sz w:val="22"/>
          <w:szCs w:val="22"/>
        </w:rPr>
        <w:t xml:space="preserve"> р</w:t>
      </w:r>
      <w:r w:rsidRPr="00475C3C">
        <w:rPr>
          <w:sz w:val="22"/>
          <w:szCs w:val="22"/>
        </w:rPr>
        <w:t>озробляти та реалізовувати наукові та/або інноваційні інженерні</w:t>
      </w:r>
      <w:r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>проекти, які дають можливість переосмислити наявне та створити нове цілісне</w:t>
      </w:r>
      <w:r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>знання та/або професійну практику і розв’язувати значущі наукові та технологічні</w:t>
      </w:r>
      <w:r>
        <w:rPr>
          <w:sz w:val="22"/>
          <w:szCs w:val="22"/>
        </w:rPr>
        <w:t xml:space="preserve"> </w:t>
      </w:r>
      <w:r w:rsidRPr="00475C3C">
        <w:rPr>
          <w:sz w:val="22"/>
          <w:szCs w:val="22"/>
        </w:rPr>
        <w:t xml:space="preserve">проблеми комп’ютерної інженерії </w:t>
      </w:r>
      <w:r w:rsidR="00DA2651">
        <w:rPr>
          <w:sz w:val="22"/>
          <w:szCs w:val="22"/>
        </w:rPr>
        <w:t xml:space="preserve">із </w:t>
      </w:r>
      <w:r w:rsidR="00DA2651" w:rsidRPr="00DA2651">
        <w:rPr>
          <w:sz w:val="22"/>
          <w:szCs w:val="22"/>
        </w:rPr>
        <w:t xml:space="preserve">застосуванням вбудованих систем на програмованій </w:t>
      </w:r>
      <w:proofErr w:type="spellStart"/>
      <w:r w:rsidR="00DA2651" w:rsidRPr="00DA2651">
        <w:rPr>
          <w:sz w:val="22"/>
          <w:szCs w:val="22"/>
        </w:rPr>
        <w:t>логіці</w:t>
      </w:r>
      <w:proofErr w:type="spellEnd"/>
      <w:r w:rsidR="00DA2651">
        <w:rPr>
          <w:sz w:val="22"/>
          <w:szCs w:val="22"/>
        </w:rPr>
        <w:t xml:space="preserve">; </w:t>
      </w:r>
      <w:r w:rsidRPr="00475C3C">
        <w:rPr>
          <w:sz w:val="22"/>
          <w:szCs w:val="22"/>
        </w:rPr>
        <w:t>створ</w:t>
      </w:r>
      <w:r w:rsidR="00DA2651">
        <w:rPr>
          <w:sz w:val="22"/>
          <w:szCs w:val="22"/>
        </w:rPr>
        <w:t>ювати</w:t>
      </w:r>
      <w:r w:rsidRPr="00DA2651">
        <w:rPr>
          <w:sz w:val="22"/>
          <w:szCs w:val="22"/>
        </w:rPr>
        <w:t xml:space="preserve"> інноваційн</w:t>
      </w:r>
      <w:r w:rsidR="00DA2651" w:rsidRPr="00DA2651">
        <w:rPr>
          <w:sz w:val="22"/>
          <w:szCs w:val="22"/>
        </w:rPr>
        <w:t>і</w:t>
      </w:r>
      <w:r w:rsidRPr="00DA2651">
        <w:rPr>
          <w:sz w:val="22"/>
          <w:szCs w:val="22"/>
        </w:rPr>
        <w:t xml:space="preserve"> продукт</w:t>
      </w:r>
      <w:r w:rsidR="00DA2651" w:rsidRPr="00DA2651">
        <w:rPr>
          <w:sz w:val="22"/>
          <w:szCs w:val="22"/>
        </w:rPr>
        <w:t>и</w:t>
      </w:r>
      <w:r w:rsidRPr="00DA2651">
        <w:rPr>
          <w:sz w:val="22"/>
          <w:szCs w:val="22"/>
        </w:rPr>
        <w:t xml:space="preserve"> у комп’ютерній</w:t>
      </w:r>
      <w:r w:rsidRPr="00DA2651">
        <w:rPr>
          <w:sz w:val="22"/>
          <w:szCs w:val="22"/>
        </w:rPr>
        <w:t xml:space="preserve"> </w:t>
      </w:r>
      <w:r w:rsidRPr="00DA2651">
        <w:rPr>
          <w:sz w:val="22"/>
          <w:szCs w:val="22"/>
        </w:rPr>
        <w:t>інженерії та дотичних міждисциплінарних напрямах</w:t>
      </w:r>
      <w:r w:rsidR="00DA2651">
        <w:rPr>
          <w:sz w:val="22"/>
          <w:szCs w:val="22"/>
        </w:rPr>
        <w:t xml:space="preserve"> </w:t>
      </w:r>
      <w:r w:rsidR="00DA2651">
        <w:rPr>
          <w:sz w:val="22"/>
          <w:szCs w:val="22"/>
        </w:rPr>
        <w:t xml:space="preserve">із </w:t>
      </w:r>
      <w:r w:rsidR="00DA2651" w:rsidRPr="00DA2651">
        <w:rPr>
          <w:sz w:val="22"/>
          <w:szCs w:val="22"/>
        </w:rPr>
        <w:t xml:space="preserve">застосуванням вбудованих систем на програмованій </w:t>
      </w:r>
      <w:proofErr w:type="spellStart"/>
      <w:r w:rsidR="00DA2651" w:rsidRPr="00DA2651">
        <w:rPr>
          <w:sz w:val="22"/>
          <w:szCs w:val="22"/>
        </w:rPr>
        <w:t>логіці</w:t>
      </w:r>
      <w:proofErr w:type="spellEnd"/>
      <w:r w:rsidR="00DA2651">
        <w:rPr>
          <w:sz w:val="22"/>
          <w:szCs w:val="22"/>
        </w:rPr>
        <w:t>.</w:t>
      </w:r>
    </w:p>
    <w:p w14:paraId="28D254BE" w14:textId="77777777" w:rsidR="00475C3C" w:rsidRPr="00591A65" w:rsidRDefault="00475C3C" w:rsidP="00475C3C">
      <w:pPr>
        <w:pStyle w:val="a5"/>
        <w:tabs>
          <w:tab w:val="num" w:pos="1247"/>
        </w:tabs>
        <w:spacing w:after="0"/>
        <w:ind w:left="0"/>
        <w:jc w:val="both"/>
        <w:rPr>
          <w:rFonts w:ascii="Times New Roman" w:hAnsi="Times New Roman"/>
          <w:lang w:val="uk-UA"/>
        </w:rPr>
      </w:pPr>
    </w:p>
    <w:p w14:paraId="2809CA20" w14:textId="77777777" w:rsidR="00475C3C" w:rsidRPr="00591A65" w:rsidRDefault="00475C3C" w:rsidP="00475C3C">
      <w:pPr>
        <w:jc w:val="both"/>
        <w:rPr>
          <w:sz w:val="22"/>
          <w:szCs w:val="22"/>
        </w:rPr>
      </w:pPr>
      <w:r w:rsidRPr="00591A65">
        <w:rPr>
          <w:b/>
          <w:sz w:val="22"/>
          <w:szCs w:val="22"/>
        </w:rPr>
        <w:t xml:space="preserve">Зміст навчальної дисципліни </w:t>
      </w:r>
      <w:r w:rsidRPr="00591A65">
        <w:rPr>
          <w:sz w:val="22"/>
          <w:szCs w:val="22"/>
        </w:rPr>
        <w:t xml:space="preserve">Системи керування та критичний </w:t>
      </w:r>
      <w:proofErr w:type="spellStart"/>
      <w:r w:rsidRPr="00591A65">
        <w:rPr>
          <w:sz w:val="22"/>
          <w:szCs w:val="22"/>
        </w:rPr>
        <w:t>комп’ютінг</w:t>
      </w:r>
      <w:proofErr w:type="spellEnd"/>
      <w:r w:rsidRPr="00591A65">
        <w:rPr>
          <w:sz w:val="22"/>
          <w:szCs w:val="22"/>
        </w:rPr>
        <w:t xml:space="preserve">. </w:t>
      </w:r>
      <w:proofErr w:type="spellStart"/>
      <w:r w:rsidRPr="00591A65">
        <w:rPr>
          <w:sz w:val="22"/>
          <w:szCs w:val="22"/>
        </w:rPr>
        <w:t>Відмовостійкість</w:t>
      </w:r>
      <w:proofErr w:type="spellEnd"/>
      <w:r w:rsidRPr="00591A65">
        <w:rPr>
          <w:sz w:val="22"/>
          <w:szCs w:val="22"/>
        </w:rPr>
        <w:t xml:space="preserve"> та </w:t>
      </w:r>
      <w:proofErr w:type="spellStart"/>
      <w:r w:rsidRPr="00591A65">
        <w:rPr>
          <w:sz w:val="22"/>
          <w:szCs w:val="22"/>
        </w:rPr>
        <w:t>відмовобезпечність</w:t>
      </w:r>
      <w:proofErr w:type="spellEnd"/>
      <w:r w:rsidRPr="00591A65">
        <w:rPr>
          <w:sz w:val="22"/>
          <w:szCs w:val="22"/>
        </w:rPr>
        <w:t xml:space="preserve">. Аналіз функцій та вимог вбудовані цифрові керуючі системи на програмованій </w:t>
      </w:r>
      <w:proofErr w:type="spellStart"/>
      <w:r w:rsidRPr="00591A65">
        <w:rPr>
          <w:sz w:val="22"/>
          <w:szCs w:val="22"/>
        </w:rPr>
        <w:t>логіці</w:t>
      </w:r>
      <w:proofErr w:type="spellEnd"/>
      <w:r w:rsidRPr="00591A65">
        <w:rPr>
          <w:sz w:val="22"/>
          <w:szCs w:val="22"/>
        </w:rPr>
        <w:t xml:space="preserve">, Особливості оцінювання та забезпечення надійності ЦКСПЛ. Варіанти реалізації ЦКСПЛ. Технології проектування надійних ЦКСПЛ. Аналіз факторів та особливостей відмов ЦКСПЛ. Варіанти побудови </w:t>
      </w:r>
      <w:proofErr w:type="spellStart"/>
      <w:r w:rsidRPr="00591A65">
        <w:rPr>
          <w:sz w:val="22"/>
          <w:szCs w:val="22"/>
        </w:rPr>
        <w:t>відмовостійких</w:t>
      </w:r>
      <w:proofErr w:type="spellEnd"/>
      <w:r w:rsidRPr="00591A65">
        <w:rPr>
          <w:sz w:val="22"/>
          <w:szCs w:val="22"/>
        </w:rPr>
        <w:t xml:space="preserve"> цифрових систем з використанням ІР-технологій. Технологія синтезу та верифікації систем на програмованій </w:t>
      </w:r>
      <w:proofErr w:type="spellStart"/>
      <w:r w:rsidRPr="00591A65">
        <w:rPr>
          <w:sz w:val="22"/>
          <w:szCs w:val="22"/>
        </w:rPr>
        <w:t>логіці</w:t>
      </w:r>
      <w:proofErr w:type="spellEnd"/>
      <w:r w:rsidRPr="00591A65">
        <w:rPr>
          <w:sz w:val="22"/>
          <w:szCs w:val="22"/>
        </w:rPr>
        <w:t xml:space="preserve"> на основі </w:t>
      </w:r>
      <w:r w:rsidRPr="00591A65">
        <w:rPr>
          <w:sz w:val="22"/>
          <w:szCs w:val="22"/>
          <w:lang w:val="en-US"/>
        </w:rPr>
        <w:t>JHDL</w:t>
      </w:r>
      <w:r w:rsidRPr="00591A65">
        <w:rPr>
          <w:sz w:val="22"/>
          <w:szCs w:val="22"/>
        </w:rPr>
        <w:t xml:space="preserve">. Принципи розробки </w:t>
      </w:r>
      <w:proofErr w:type="spellStart"/>
      <w:r w:rsidRPr="00591A65">
        <w:rPr>
          <w:sz w:val="22"/>
          <w:szCs w:val="22"/>
        </w:rPr>
        <w:t>відмовостійких</w:t>
      </w:r>
      <w:proofErr w:type="spellEnd"/>
      <w:r w:rsidRPr="00591A65">
        <w:rPr>
          <w:sz w:val="22"/>
          <w:szCs w:val="22"/>
        </w:rPr>
        <w:t xml:space="preserve"> систем на програмованих логічних контролерах. Основні поняття, види та параметри діагностування цифрових та процесорних пристроїв. Класифікація </w:t>
      </w:r>
      <w:proofErr w:type="spellStart"/>
      <w:r w:rsidRPr="00591A65">
        <w:rPr>
          <w:sz w:val="22"/>
          <w:szCs w:val="22"/>
        </w:rPr>
        <w:t>несправностей</w:t>
      </w:r>
      <w:proofErr w:type="spellEnd"/>
      <w:r w:rsidRPr="00591A65">
        <w:rPr>
          <w:sz w:val="22"/>
          <w:szCs w:val="22"/>
        </w:rPr>
        <w:t xml:space="preserve"> ЦМП. Контроль та діагностування ЦМП. Основи теорії граничних станів. Інтелектуальні методи та засоби діагностування. </w:t>
      </w:r>
      <w:proofErr w:type="spellStart"/>
      <w:r w:rsidRPr="00591A65">
        <w:rPr>
          <w:sz w:val="22"/>
          <w:szCs w:val="22"/>
        </w:rPr>
        <w:t>Нейромережні</w:t>
      </w:r>
      <w:proofErr w:type="spellEnd"/>
      <w:r w:rsidRPr="00591A65">
        <w:rPr>
          <w:sz w:val="22"/>
          <w:szCs w:val="22"/>
        </w:rPr>
        <w:t xml:space="preserve"> методи діагностування. </w:t>
      </w:r>
    </w:p>
    <w:p w14:paraId="1A9C03F2" w14:textId="77777777" w:rsidR="00475C3C" w:rsidRPr="00591A65" w:rsidRDefault="00475C3C" w:rsidP="00475C3C">
      <w:pPr>
        <w:spacing w:line="228" w:lineRule="auto"/>
        <w:jc w:val="both"/>
        <w:rPr>
          <w:b/>
          <w:sz w:val="22"/>
          <w:szCs w:val="22"/>
        </w:rPr>
      </w:pPr>
    </w:p>
    <w:p w14:paraId="6E5017FA" w14:textId="77777777" w:rsidR="00475C3C" w:rsidRPr="00591A65" w:rsidRDefault="00475C3C" w:rsidP="00475C3C">
      <w:pPr>
        <w:jc w:val="both"/>
        <w:rPr>
          <w:sz w:val="22"/>
          <w:szCs w:val="22"/>
        </w:rPr>
      </w:pPr>
      <w:r w:rsidRPr="00591A65">
        <w:rPr>
          <w:b/>
          <w:sz w:val="22"/>
          <w:szCs w:val="22"/>
        </w:rPr>
        <w:t>Запланована навчальна діяльність:</w:t>
      </w:r>
      <w:r w:rsidRPr="00591A65">
        <w:rPr>
          <w:sz w:val="22"/>
          <w:szCs w:val="22"/>
        </w:rPr>
        <w:t xml:space="preserve"> кількість аудиторних годин – не менше 1/3 від загальної кількості годин, які заплановані на вивчення дисципліни.</w:t>
      </w:r>
    </w:p>
    <w:p w14:paraId="11B4D373" w14:textId="77777777" w:rsidR="00475C3C" w:rsidRPr="00591A65" w:rsidRDefault="00475C3C" w:rsidP="00475C3C">
      <w:pPr>
        <w:rPr>
          <w:sz w:val="22"/>
          <w:szCs w:val="22"/>
        </w:rPr>
      </w:pPr>
    </w:p>
    <w:p w14:paraId="61209F8B" w14:textId="77777777" w:rsidR="00475C3C" w:rsidRPr="00591A65" w:rsidRDefault="00475C3C" w:rsidP="00475C3C">
      <w:pPr>
        <w:jc w:val="both"/>
        <w:rPr>
          <w:noProof/>
          <w:sz w:val="22"/>
          <w:szCs w:val="22"/>
        </w:rPr>
      </w:pPr>
      <w:r w:rsidRPr="00B85344">
        <w:rPr>
          <w:b/>
          <w:sz w:val="22"/>
          <w:szCs w:val="22"/>
        </w:rPr>
        <w:t xml:space="preserve">Методи навчання: </w:t>
      </w:r>
      <w:r w:rsidRPr="00B85344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B85344">
        <w:rPr>
          <w:sz w:val="22"/>
          <w:szCs w:val="22"/>
        </w:rPr>
        <w:t>пояснювально</w:t>
      </w:r>
      <w:proofErr w:type="spellEnd"/>
      <w:r w:rsidRPr="00B85344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  <w:r w:rsidRPr="00591A65">
        <w:rPr>
          <w:noProof/>
          <w:sz w:val="22"/>
          <w:szCs w:val="22"/>
        </w:rPr>
        <w:t>.</w:t>
      </w:r>
    </w:p>
    <w:p w14:paraId="3B957D40" w14:textId="77777777" w:rsidR="00475C3C" w:rsidRPr="00591A65" w:rsidRDefault="00475C3C" w:rsidP="00475C3C">
      <w:pPr>
        <w:jc w:val="both"/>
        <w:rPr>
          <w:noProof/>
          <w:sz w:val="22"/>
          <w:szCs w:val="22"/>
        </w:rPr>
      </w:pPr>
    </w:p>
    <w:p w14:paraId="70F2CD59" w14:textId="77777777" w:rsidR="00475C3C" w:rsidRPr="00591A65" w:rsidRDefault="00475C3C" w:rsidP="00475C3C">
      <w:pPr>
        <w:spacing w:line="228" w:lineRule="auto"/>
        <w:jc w:val="both"/>
        <w:rPr>
          <w:sz w:val="22"/>
          <w:szCs w:val="22"/>
        </w:rPr>
      </w:pPr>
      <w:r w:rsidRPr="00591A65">
        <w:rPr>
          <w:b/>
          <w:sz w:val="22"/>
          <w:szCs w:val="22"/>
        </w:rPr>
        <w:t>Форми оцінювання результатів навчання</w:t>
      </w:r>
      <w:r w:rsidRPr="00591A65">
        <w:rPr>
          <w:sz w:val="22"/>
          <w:szCs w:val="22"/>
        </w:rPr>
        <w:t xml:space="preserve">: контрольні роботи, захист лабораторних та практичних робіт. </w:t>
      </w:r>
    </w:p>
    <w:p w14:paraId="2DBCCC04" w14:textId="77777777" w:rsidR="00475C3C" w:rsidRPr="00591A65" w:rsidRDefault="00475C3C" w:rsidP="00475C3C">
      <w:pPr>
        <w:rPr>
          <w:sz w:val="22"/>
          <w:szCs w:val="22"/>
        </w:rPr>
      </w:pPr>
    </w:p>
    <w:p w14:paraId="3EEB7285" w14:textId="77777777" w:rsidR="00475C3C" w:rsidRPr="00591A65" w:rsidRDefault="00475C3C" w:rsidP="00475C3C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Форма</w:t>
      </w:r>
      <w:r w:rsidRPr="00591A65">
        <w:rPr>
          <w:b/>
          <w:sz w:val="22"/>
          <w:szCs w:val="22"/>
        </w:rPr>
        <w:t xml:space="preserve"> семестрового контролю: </w:t>
      </w:r>
      <w:r w:rsidRPr="00591A65">
        <w:rPr>
          <w:sz w:val="22"/>
          <w:szCs w:val="22"/>
        </w:rPr>
        <w:t>залік</w:t>
      </w:r>
    </w:p>
    <w:p w14:paraId="69953394" w14:textId="77777777" w:rsidR="00475C3C" w:rsidRPr="00591A65" w:rsidRDefault="00475C3C" w:rsidP="00475C3C">
      <w:pPr>
        <w:rPr>
          <w:b/>
          <w:sz w:val="22"/>
          <w:szCs w:val="22"/>
        </w:rPr>
      </w:pPr>
    </w:p>
    <w:p w14:paraId="1BE897C0" w14:textId="77777777" w:rsidR="00475C3C" w:rsidRPr="00591A65" w:rsidRDefault="00475C3C" w:rsidP="00475C3C">
      <w:pPr>
        <w:rPr>
          <w:sz w:val="22"/>
          <w:szCs w:val="22"/>
        </w:rPr>
      </w:pPr>
      <w:r w:rsidRPr="00591A65">
        <w:rPr>
          <w:b/>
          <w:sz w:val="22"/>
          <w:szCs w:val="22"/>
        </w:rPr>
        <w:t xml:space="preserve">Навчальні ресурси: </w:t>
      </w:r>
    </w:p>
    <w:p w14:paraId="45125234" w14:textId="77777777" w:rsidR="00475C3C" w:rsidRPr="00591A65" w:rsidRDefault="00475C3C" w:rsidP="00475C3C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  <w:r w:rsidRPr="00591A65">
        <w:rPr>
          <w:sz w:val="22"/>
          <w:szCs w:val="22"/>
        </w:rPr>
        <w:t xml:space="preserve">1. </w:t>
      </w:r>
      <w:proofErr w:type="spellStart"/>
      <w:r w:rsidRPr="00591A65">
        <w:rPr>
          <w:sz w:val="22"/>
          <w:szCs w:val="22"/>
        </w:rPr>
        <w:t>Тарарака</w:t>
      </w:r>
      <w:proofErr w:type="spellEnd"/>
      <w:r w:rsidRPr="00591A65">
        <w:rPr>
          <w:sz w:val="22"/>
          <w:szCs w:val="22"/>
        </w:rPr>
        <w:t xml:space="preserve"> В.Д. Архітектура комп’ютерних систем: </w:t>
      </w:r>
      <w:proofErr w:type="spellStart"/>
      <w:r w:rsidRPr="00591A65">
        <w:rPr>
          <w:sz w:val="22"/>
          <w:szCs w:val="22"/>
        </w:rPr>
        <w:t>навч</w:t>
      </w:r>
      <w:proofErr w:type="spellEnd"/>
      <w:r w:rsidRPr="00591A65">
        <w:rPr>
          <w:sz w:val="22"/>
          <w:szCs w:val="22"/>
        </w:rPr>
        <w:t xml:space="preserve">. </w:t>
      </w:r>
      <w:proofErr w:type="spellStart"/>
      <w:r w:rsidRPr="00591A65">
        <w:rPr>
          <w:sz w:val="22"/>
          <w:szCs w:val="22"/>
        </w:rPr>
        <w:t>посіб</w:t>
      </w:r>
      <w:proofErr w:type="spellEnd"/>
      <w:r w:rsidRPr="00591A65">
        <w:rPr>
          <w:sz w:val="22"/>
          <w:szCs w:val="22"/>
        </w:rPr>
        <w:t xml:space="preserve">. / В.Д. </w:t>
      </w:r>
      <w:proofErr w:type="spellStart"/>
      <w:r w:rsidRPr="00591A65">
        <w:rPr>
          <w:sz w:val="22"/>
          <w:szCs w:val="22"/>
        </w:rPr>
        <w:t>Тарарака</w:t>
      </w:r>
      <w:proofErr w:type="spellEnd"/>
      <w:r w:rsidRPr="00591A65">
        <w:rPr>
          <w:sz w:val="22"/>
          <w:szCs w:val="22"/>
        </w:rPr>
        <w:t xml:space="preserve">. – Житомир: ЖДТУ, 2018. – 383 с. </w:t>
      </w:r>
    </w:p>
    <w:p w14:paraId="6AE86A3B" w14:textId="6982C823" w:rsidR="00475C3C" w:rsidRPr="00591A65" w:rsidRDefault="00475C3C" w:rsidP="00475C3C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91A65">
        <w:rPr>
          <w:sz w:val="22"/>
          <w:szCs w:val="22"/>
        </w:rPr>
        <w:t xml:space="preserve">. Посібник з  дисципліни «Автоматизовані  системи  керування технологічними процесами» /  Укладач :  </w:t>
      </w:r>
      <w:proofErr w:type="spellStart"/>
      <w:r w:rsidRPr="00591A65">
        <w:rPr>
          <w:sz w:val="22"/>
          <w:szCs w:val="22"/>
        </w:rPr>
        <w:t>Карташов</w:t>
      </w:r>
      <w:proofErr w:type="spellEnd"/>
      <w:r w:rsidRPr="00591A65">
        <w:rPr>
          <w:sz w:val="22"/>
          <w:szCs w:val="22"/>
        </w:rPr>
        <w:t xml:space="preserve"> В.В. –Тернопіль :  Вид-во ТНТУ  імені Івана Пулюя, 201</w:t>
      </w:r>
      <w:r>
        <w:rPr>
          <w:sz w:val="22"/>
          <w:szCs w:val="22"/>
        </w:rPr>
        <w:t>9</w:t>
      </w:r>
      <w:r w:rsidRPr="00591A65">
        <w:rPr>
          <w:sz w:val="22"/>
          <w:szCs w:val="22"/>
        </w:rPr>
        <w:t xml:space="preserve"> –149 с.</w:t>
      </w:r>
    </w:p>
    <w:p w14:paraId="7140555D" w14:textId="77777777" w:rsidR="00475C3C" w:rsidRPr="00591A65" w:rsidRDefault="00475C3C" w:rsidP="00475C3C">
      <w:pPr>
        <w:pStyle w:val="a3"/>
        <w:tabs>
          <w:tab w:val="left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3</w:t>
      </w:r>
      <w:r w:rsidRPr="00591A65">
        <w:rPr>
          <w:sz w:val="22"/>
          <w:szCs w:val="22"/>
        </w:rPr>
        <w:t xml:space="preserve">. Модульне середовище для навчання MOODLE. Доступ до ресурсу: </w:t>
      </w:r>
      <w:hyperlink r:id="rId4" w:history="1">
        <w:r w:rsidRPr="000C07AA">
          <w:rPr>
            <w:rStyle w:val="a4"/>
            <w:sz w:val="22"/>
            <w:szCs w:val="22"/>
          </w:rPr>
          <w:t>https://msn.khmnu.edu.ua</w:t>
        </w:r>
      </w:hyperlink>
      <w:r>
        <w:rPr>
          <w:sz w:val="22"/>
          <w:szCs w:val="22"/>
        </w:rPr>
        <w:t xml:space="preserve"> </w:t>
      </w:r>
      <w:r w:rsidRPr="00591A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C17BB68" w14:textId="77777777" w:rsidR="00475C3C" w:rsidRPr="00591A65" w:rsidRDefault="00475C3C" w:rsidP="00475C3C">
      <w:pPr>
        <w:pStyle w:val="3"/>
        <w:ind w:left="0"/>
        <w:jc w:val="both"/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4</w:t>
      </w:r>
      <w:r w:rsidRPr="00591A65">
        <w:rPr>
          <w:rFonts w:eastAsia="Calibri"/>
          <w:sz w:val="22"/>
          <w:szCs w:val="22"/>
          <w:lang w:eastAsia="en-US"/>
        </w:rPr>
        <w:t xml:space="preserve">. Електронна бібліотека університету. Доступ до ресурсу:  </w:t>
      </w:r>
      <w:hyperlink r:id="rId5" w:history="1">
        <w:r w:rsidRPr="000C07AA">
          <w:rPr>
            <w:rStyle w:val="a4"/>
            <w:rFonts w:eastAsia="Calibri"/>
            <w:sz w:val="22"/>
            <w:szCs w:val="22"/>
            <w:lang w:eastAsia="en-US"/>
          </w:rPr>
          <w:t>http://lib.khmnu.edu.ua/asp/php_f/p1age_lib.php</w:t>
        </w:r>
      </w:hyperlink>
      <w:r>
        <w:rPr>
          <w:rFonts w:eastAsia="Calibri"/>
          <w:sz w:val="22"/>
          <w:szCs w:val="22"/>
          <w:lang w:eastAsia="en-US"/>
        </w:rPr>
        <w:t xml:space="preserve"> </w:t>
      </w:r>
    </w:p>
    <w:p w14:paraId="457D70E7" w14:textId="77777777" w:rsidR="00475C3C" w:rsidRPr="00591A65" w:rsidRDefault="00475C3C" w:rsidP="00475C3C">
      <w:pPr>
        <w:pStyle w:val="3"/>
        <w:ind w:left="0"/>
        <w:jc w:val="both"/>
        <w:rPr>
          <w:b/>
          <w:sz w:val="22"/>
          <w:szCs w:val="22"/>
        </w:rPr>
      </w:pPr>
    </w:p>
    <w:p w14:paraId="78612BE0" w14:textId="77777777" w:rsidR="00475C3C" w:rsidRPr="00591A65" w:rsidRDefault="00475C3C" w:rsidP="00475C3C">
      <w:pPr>
        <w:pStyle w:val="3"/>
        <w:ind w:left="0"/>
        <w:jc w:val="both"/>
        <w:rPr>
          <w:sz w:val="22"/>
          <w:szCs w:val="22"/>
        </w:rPr>
      </w:pPr>
      <w:r w:rsidRPr="00591A65">
        <w:rPr>
          <w:b/>
          <w:sz w:val="22"/>
          <w:szCs w:val="22"/>
        </w:rPr>
        <w:t>Викладач</w:t>
      </w:r>
      <w:r w:rsidRPr="00591A65">
        <w:rPr>
          <w:sz w:val="22"/>
          <w:szCs w:val="22"/>
        </w:rPr>
        <w:t>:</w:t>
      </w:r>
      <w:r w:rsidRPr="00591A65">
        <w:rPr>
          <w:b/>
          <w:sz w:val="22"/>
          <w:szCs w:val="22"/>
        </w:rPr>
        <w:t xml:space="preserve"> </w:t>
      </w:r>
      <w:r w:rsidRPr="00591A65">
        <w:rPr>
          <w:sz w:val="22"/>
          <w:szCs w:val="22"/>
        </w:rPr>
        <w:t xml:space="preserve">доктор технічних наук, професор Лисенко С.М. </w:t>
      </w:r>
    </w:p>
    <w:p w14:paraId="3209C674" w14:textId="77777777" w:rsidR="003529AD" w:rsidRDefault="003529AD"/>
    <w:sectPr w:rsidR="00352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3C"/>
    <w:rsid w:val="003529AD"/>
    <w:rsid w:val="00475C3C"/>
    <w:rsid w:val="007E21E8"/>
    <w:rsid w:val="00CE18A2"/>
    <w:rsid w:val="00DA2651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36D5"/>
  <w15:chartTrackingRefBased/>
  <w15:docId w15:val="{CD0DA6CC-F318-410F-B512-9A8ECA9F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C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475C3C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5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75C3C"/>
    <w:pPr>
      <w:ind w:left="720"/>
      <w:contextualSpacing/>
    </w:pPr>
  </w:style>
  <w:style w:type="character" w:styleId="a4">
    <w:name w:val="Hyperlink"/>
    <w:unhideWhenUsed/>
    <w:rsid w:val="00475C3C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475C3C"/>
    <w:pPr>
      <w:spacing w:after="120" w:line="259" w:lineRule="auto"/>
      <w:ind w:left="283"/>
    </w:pPr>
    <w:rPr>
      <w:rFonts w:ascii="Calibri" w:hAnsi="Calibri"/>
      <w:sz w:val="22"/>
      <w:szCs w:val="22"/>
      <w:lang w:val="ru-RU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475C3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khmnu.edu.ua/asp/php_f/p1age_lib.php" TargetMode="External"/><Relationship Id="rId4" Type="http://schemas.openxmlformats.org/officeDocument/2006/relationships/hyperlink" Target="https://msn.khmn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Lysenko</dc:creator>
  <cp:keywords/>
  <dc:description/>
  <cp:lastModifiedBy>Sergii Lysenko</cp:lastModifiedBy>
  <cp:revision>1</cp:revision>
  <dcterms:created xsi:type="dcterms:W3CDTF">2023-04-25T07:32:00Z</dcterms:created>
  <dcterms:modified xsi:type="dcterms:W3CDTF">2023-04-25T07:49:00Z</dcterms:modified>
</cp:coreProperties>
</file>